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2"/>
        <w:widowControl/>
        <w:spacing w:lineRule="exact" w:line="440"/>
        <w:rPr/>
      </w:pPr>
      <w:r>
        <w:rPr>
          <w:rStyle w:val="Style14"/>
          <w:rFonts w:eastAsia="標楷體"/>
          <w:bCs/>
          <w:sz w:val="40"/>
          <w:szCs w:val="40"/>
        </w:rPr>
        <w:t>教育部補助高級中等以下學校及幼兒園教師在職進修作業要點第八點修正規定</w:t>
      </w:r>
    </w:p>
    <w:p>
      <w:pPr>
        <w:pStyle w:val="Normal"/>
        <w:tabs>
          <w:tab w:val="clear" w:pos="480"/>
          <w:tab w:val="left" w:pos="14798" w:leader="none"/>
        </w:tabs>
        <w:spacing w:lineRule="exact" w:line="460"/>
        <w:ind w:left="518" w:hanging="518"/>
        <w:jc w:val="both"/>
        <w:rPr>
          <w:rFonts w:eastAsia="標楷體"/>
          <w:sz w:val="28"/>
          <w:szCs w:val="28"/>
        </w:rPr>
      </w:pPr>
      <w:r>
        <w:rPr>
          <w:rFonts w:eastAsia="標楷體"/>
          <w:sz w:val="28"/>
          <w:szCs w:val="28"/>
        </w:rPr>
        <w:t>八、補助基準：</w:t>
      </w:r>
    </w:p>
    <w:p>
      <w:pPr>
        <w:pStyle w:val="Normal"/>
        <w:tabs>
          <w:tab w:val="clear" w:pos="480"/>
        </w:tabs>
        <w:snapToGrid w:val="false"/>
        <w:spacing w:lineRule="exact" w:line="460"/>
        <w:ind w:left="741" w:hanging="686"/>
        <w:jc w:val="both"/>
        <w:rPr>
          <w:rFonts w:ascii="標楷體" w:hAnsi="標楷體" w:eastAsia="標楷體"/>
          <w:sz w:val="28"/>
          <w:szCs w:val="28"/>
        </w:rPr>
      </w:pPr>
      <w:r>
        <w:rPr>
          <w:rFonts w:ascii="標楷體" w:hAnsi="標楷體" w:eastAsia="標楷體"/>
          <w:sz w:val="28"/>
          <w:szCs w:val="28"/>
        </w:rPr>
        <w:t>（一）學分班：</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1.</w:t>
      </w:r>
      <w:r>
        <w:rPr>
          <w:rStyle w:val="Style14"/>
          <w:rFonts w:ascii="標楷體" w:hAnsi="標楷體" w:eastAsia="標楷體"/>
          <w:sz w:val="28"/>
          <w:szCs w:val="28"/>
        </w:rPr>
        <w:t>經本部協調辦理之重大教育政策或重大議題所開設學分班開班費，以每一學分補助新臺幣五萬元為原則。但經本部專案核定者，不在此限。</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2.</w:t>
      </w:r>
      <w:r>
        <w:rPr>
          <w:rStyle w:val="Style14"/>
          <w:rFonts w:ascii="標楷體" w:hAnsi="標楷體" w:eastAsia="標楷體"/>
          <w:sz w:val="28"/>
          <w:szCs w:val="28"/>
        </w:rPr>
        <w:t>非因前目所定目的開設之學分班，得酌予補助，以每一學分新臺幣三萬元為限。</w:t>
      </w:r>
    </w:p>
    <w:p>
      <w:pPr>
        <w:pStyle w:val="Normal"/>
        <w:tabs>
          <w:tab w:val="clear" w:pos="480"/>
        </w:tabs>
        <w:snapToGrid w:val="false"/>
        <w:spacing w:lineRule="exact" w:line="460"/>
        <w:ind w:left="796" w:hanging="753"/>
        <w:jc w:val="both"/>
        <w:rPr/>
      </w:pPr>
      <w:r>
        <w:rPr>
          <w:rStyle w:val="Style14"/>
          <w:rFonts w:ascii="標楷體" w:hAnsi="標楷體" w:eastAsia="標楷體"/>
          <w:sz w:val="28"/>
          <w:szCs w:val="28"/>
        </w:rPr>
        <w:t>（二）經本部協調配合重大教育政策或重大議題所辦理之教師研習活動，每班酌予補助鐘點費、教材費及雜支等。於離島辦理者，得額外補助授課講師交通費、住宿費。</w:t>
      </w:r>
    </w:p>
    <w:p>
      <w:pPr>
        <w:pStyle w:val="Normal"/>
        <w:tabs>
          <w:tab w:val="clear" w:pos="480"/>
        </w:tabs>
        <w:snapToGrid w:val="false"/>
        <w:spacing w:lineRule="exact" w:line="460"/>
        <w:ind w:left="796" w:hanging="753"/>
        <w:jc w:val="both"/>
        <w:rPr/>
      </w:pPr>
      <w:r>
        <w:rPr>
          <w:rStyle w:val="Style14"/>
          <w:rFonts w:ascii="標楷體" w:hAnsi="標楷體" w:eastAsia="標楷體"/>
          <w:sz w:val="28"/>
          <w:szCs w:val="28"/>
        </w:rPr>
        <w:t>（三）前二款學分班、教師研習活動之交通費、住宿費不予補助。但有特殊情況（例如偏遠、離島地區），經本部於核定開班時敘明同意補助，並確有需求者，得於申請時敘明原因，依下列基準及實際出席狀況報本部核定補助：</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1.</w:t>
      </w:r>
      <w:r>
        <w:rPr>
          <w:rStyle w:val="Style14"/>
          <w:rFonts w:ascii="標楷體" w:hAnsi="標楷體" w:eastAsia="標楷體"/>
          <w:sz w:val="28"/>
          <w:szCs w:val="28"/>
        </w:rPr>
        <w:t>委請其他轄區之師資培育之大學或師範大學設置之進修學院，聘請授課教師至本轄區開課，除開班費外，並依國內出差旅費報支要點之規定核實報支，補助授課教師交通費、住宿費。</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2.</w:t>
      </w:r>
      <w:r>
        <w:rPr>
          <w:rStyle w:val="Style14"/>
          <w:rFonts w:ascii="標楷體" w:hAnsi="標楷體" w:eastAsia="標楷體"/>
          <w:sz w:val="28"/>
          <w:szCs w:val="28"/>
        </w:rPr>
        <w:t>離島地區進修教師需至臺灣本島上課者，除開班費外，依實際需要及國內出差旅費報支要點之規定核實報支，補助交通費、住宿費。</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3.</w:t>
      </w:r>
      <w:r>
        <w:rPr>
          <w:rStyle w:val="Style14"/>
          <w:rFonts w:ascii="標楷體" w:hAnsi="標楷體" w:eastAsia="標楷體"/>
          <w:sz w:val="28"/>
          <w:szCs w:val="28"/>
        </w:rPr>
        <w:t>偏遠地區教師進修（花蓮及臺東地區）依實際需要及國內出差旅費報支要點之規定核實報支，補助交通費、住宿費。</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4.</w:t>
      </w:r>
      <w:r>
        <w:rPr>
          <w:rStyle w:val="Style14"/>
          <w:rFonts w:ascii="標楷體" w:hAnsi="標楷體" w:eastAsia="標楷體"/>
          <w:sz w:val="28"/>
          <w:szCs w:val="28"/>
        </w:rPr>
        <w:t>於離島地區開課之師資培育之大學或師範大學設置之進修學院之行政人員，如因業務需要，需至離島地區處理開班相關行政業務，依實際需要及國內出差旅費報支要點之規定核實報支，補助交通費、住宿費。</w:t>
      </w:r>
    </w:p>
    <w:p>
      <w:pPr>
        <w:pStyle w:val="Normal"/>
        <w:tabs>
          <w:tab w:val="clear" w:pos="480"/>
        </w:tabs>
        <w:snapToGrid w:val="false"/>
        <w:spacing w:lineRule="exact" w:line="460"/>
        <w:ind w:left="741" w:hanging="686"/>
        <w:jc w:val="both"/>
        <w:rPr/>
      </w:pPr>
      <w:r>
        <w:rPr>
          <w:rStyle w:val="Style14"/>
          <w:rFonts w:ascii="標楷體" w:hAnsi="標楷體" w:eastAsia="標楷體"/>
          <w:sz w:val="28"/>
          <w:szCs w:val="28"/>
        </w:rPr>
        <w:t>（四）非於本機關或轄區內機關場地辦理之班次，酌予補助場地費。</w:t>
      </w:r>
    </w:p>
    <w:p>
      <w:pPr>
        <w:pStyle w:val="Normal"/>
        <w:tabs>
          <w:tab w:val="clear" w:pos="480"/>
        </w:tabs>
        <w:snapToGrid w:val="false"/>
        <w:spacing w:lineRule="exact" w:line="460"/>
        <w:ind w:left="881" w:hanging="826"/>
        <w:jc w:val="both"/>
        <w:rPr/>
      </w:pPr>
      <w:r>
        <w:rPr>
          <w:rStyle w:val="Style14"/>
          <w:rFonts w:ascii="標楷體" w:hAnsi="標楷體" w:eastAsia="標楷體"/>
          <w:sz w:val="28"/>
          <w:szCs w:val="28"/>
        </w:rPr>
        <w:t>（五）本要點未規定之補助項目，依教育部補</w:t>
      </w:r>
      <w:r>
        <w:rPr>
          <w:rStyle w:val="Style14"/>
          <w:rFonts w:eastAsia="標楷體" w:ascii="標楷體" w:hAnsi="標楷體"/>
          <w:sz w:val="28"/>
          <w:szCs w:val="28"/>
        </w:rPr>
        <w:t>(</w:t>
      </w:r>
      <w:r>
        <w:rPr>
          <w:rStyle w:val="Style14"/>
          <w:rFonts w:ascii="標楷體" w:hAnsi="標楷體" w:eastAsia="標楷體"/>
          <w:sz w:val="28"/>
          <w:szCs w:val="28"/>
        </w:rPr>
        <w:t>捐</w:t>
      </w:r>
      <w:r>
        <w:rPr>
          <w:rStyle w:val="Style14"/>
          <w:rFonts w:eastAsia="標楷體" w:ascii="標楷體" w:hAnsi="標楷體"/>
          <w:sz w:val="28"/>
          <w:szCs w:val="28"/>
        </w:rPr>
        <w:t>)</w:t>
      </w:r>
      <w:r>
        <w:rPr>
          <w:rStyle w:val="Style14"/>
          <w:rFonts w:ascii="標楷體" w:hAnsi="標楷體" w:eastAsia="標楷體"/>
          <w:sz w:val="28"/>
          <w:szCs w:val="28"/>
        </w:rPr>
        <w:t>助及委辦計畫經費編列基準表、國內出差旅費報支要點及會計相關規定辦理。</w:t>
      </w:r>
    </w:p>
    <w:p>
      <w:pPr>
        <w:pStyle w:val="Normal"/>
        <w:tabs>
          <w:tab w:val="clear" w:pos="480"/>
        </w:tabs>
        <w:snapToGrid w:val="false"/>
        <w:spacing w:lineRule="exact" w:line="460"/>
        <w:ind w:left="741" w:hanging="686"/>
        <w:jc w:val="both"/>
        <w:rPr/>
      </w:pPr>
      <w:r>
        <w:rPr>
          <w:rStyle w:val="Style14"/>
          <w:rFonts w:ascii="標楷體" w:hAnsi="標楷體" w:eastAsia="標楷體"/>
          <w:sz w:val="28"/>
          <w:szCs w:val="28"/>
        </w:rPr>
        <w:t>（六）</w:t>
      </w:r>
      <w:r>
        <w:rPr>
          <w:rStyle w:val="Style14"/>
          <w:rFonts w:ascii="標楷體" w:hAnsi="標楷體" w:eastAsia="標楷體"/>
          <w:color w:val="000000"/>
          <w:sz w:val="28"/>
          <w:szCs w:val="28"/>
        </w:rPr>
        <w:t>偏遠地區學校專聘教師參加國民小學加註領域專長學分班，得申請補助報名費、學雜費及學分費。</w:t>
      </w:r>
    </w:p>
    <w:p>
      <w:pPr>
        <w:pStyle w:val="Normal"/>
        <w:tabs>
          <w:tab w:val="clear" w:pos="480"/>
        </w:tabs>
        <w:snapToGrid w:val="false"/>
        <w:spacing w:lineRule="exact" w:line="460"/>
        <w:ind w:left="741" w:hanging="686"/>
        <w:jc w:val="both"/>
        <w:rPr/>
      </w:pPr>
      <w:r>
        <w:rPr>
          <w:rStyle w:val="Style14"/>
          <w:rFonts w:ascii="標楷體" w:hAnsi="標楷體" w:eastAsia="標楷體"/>
          <w:sz w:val="28"/>
          <w:szCs w:val="28"/>
        </w:rPr>
        <w:t>（七）國民小學加註領域專長學分班招收下列</w:t>
      </w:r>
      <w:r>
        <w:rPr>
          <w:rStyle w:val="Style14"/>
          <w:rFonts w:ascii="標楷體" w:hAnsi="標楷體" w:eastAsia="標楷體"/>
          <w:color w:val="000000"/>
          <w:sz w:val="28"/>
          <w:szCs w:val="28"/>
        </w:rPr>
        <w:t>二</w:t>
      </w:r>
      <w:r>
        <w:rPr>
          <w:rStyle w:val="Style14"/>
          <w:rFonts w:ascii="標楷體" w:hAnsi="標楷體" w:eastAsia="標楷體"/>
          <w:sz w:val="28"/>
          <w:szCs w:val="28"/>
        </w:rPr>
        <w:t>類教師，原則不予補助。但開設於偏遠、離島地區或有實際需求之班別，本部得專案酌予補助：</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1.</w:t>
      </w:r>
      <w:r>
        <w:rPr>
          <w:rStyle w:val="Style14"/>
          <w:rFonts w:ascii="標楷體" w:hAnsi="標楷體" w:eastAsia="標楷體"/>
          <w:sz w:val="28"/>
          <w:szCs w:val="28"/>
        </w:rPr>
        <w:t>具合格教師證書非在職之儲備教師。</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2.</w:t>
      </w:r>
      <w:r>
        <w:rPr>
          <w:rStyle w:val="Style14"/>
          <w:rFonts w:ascii="標楷體" w:hAnsi="標楷體" w:eastAsia="標楷體"/>
          <w:sz w:val="28"/>
          <w:szCs w:val="28"/>
        </w:rPr>
        <w:t>具合格教師證書，且聘期未滿三個月之在職代理、代課或兼任教師。</w:t>
      </w:r>
    </w:p>
    <w:p>
      <w:pPr>
        <w:pStyle w:val="Normal"/>
        <w:tabs>
          <w:tab w:val="clear" w:pos="480"/>
        </w:tabs>
        <w:snapToGrid w:val="false"/>
        <w:spacing w:lineRule="exact" w:line="460"/>
        <w:ind w:left="881" w:hanging="826"/>
        <w:jc w:val="both"/>
        <w:rPr/>
      </w:pPr>
      <w:r>
        <w:rPr>
          <w:rStyle w:val="Style14"/>
          <w:rFonts w:ascii="標楷體" w:hAnsi="標楷體" w:eastAsia="標楷體"/>
          <w:sz w:val="28"/>
          <w:szCs w:val="28"/>
        </w:rPr>
        <w:t>（八）地方政府、所屬師資培育之大學及所主管高級中等以下學校：依中央對直轄市及縣（市）政府補助辦法及本部對直轄市及縣（市）政府計畫型補助款處理原則之規定辦理，另配合本部獲配年度預算額度，就各地方政府財力級次（以核定年度最近一期行政院主計處公布為準），給予不同補助比率：</w:t>
      </w:r>
    </w:p>
    <w:p>
      <w:pPr>
        <w:pStyle w:val="Normal"/>
        <w:tabs>
          <w:tab w:val="clear" w:pos="480"/>
        </w:tabs>
        <w:snapToGrid w:val="false"/>
        <w:spacing w:lineRule="exact" w:line="460"/>
        <w:ind w:left="993" w:hanging="240"/>
        <w:rPr/>
      </w:pPr>
      <w:r>
        <w:rPr>
          <w:rStyle w:val="Style14"/>
          <w:rFonts w:eastAsia="標楷體" w:ascii="標楷體" w:hAnsi="標楷體"/>
          <w:sz w:val="28"/>
        </w:rPr>
        <w:t>1.</w:t>
      </w:r>
      <w:r>
        <w:rPr>
          <w:rStyle w:val="Style14"/>
          <w:rFonts w:ascii="標楷體" w:hAnsi="標楷體" w:eastAsia="標楷體"/>
          <w:sz w:val="28"/>
        </w:rPr>
        <w:t>財力級次第一級者，補助比率不得超過百分之七十。</w:t>
      </w:r>
    </w:p>
    <w:p>
      <w:pPr>
        <w:pStyle w:val="Normal"/>
        <w:tabs>
          <w:tab w:val="clear" w:pos="480"/>
        </w:tabs>
        <w:snapToGrid w:val="false"/>
        <w:spacing w:lineRule="exact" w:line="460"/>
        <w:ind w:left="993" w:hanging="240"/>
        <w:rPr/>
      </w:pPr>
      <w:r>
        <w:rPr>
          <w:rStyle w:val="Style14"/>
          <w:rFonts w:eastAsia="標楷體" w:ascii="標楷體" w:hAnsi="標楷體"/>
          <w:sz w:val="28"/>
        </w:rPr>
        <w:t>2.</w:t>
      </w:r>
      <w:r>
        <w:rPr>
          <w:rStyle w:val="Style14"/>
          <w:rFonts w:ascii="標楷體" w:hAnsi="標楷體" w:eastAsia="標楷體"/>
          <w:sz w:val="28"/>
        </w:rPr>
        <w:t>財力級次第二級者，補助比率不得超過百分之七十五。</w:t>
      </w:r>
    </w:p>
    <w:p>
      <w:pPr>
        <w:pStyle w:val="Normal"/>
        <w:tabs>
          <w:tab w:val="clear" w:pos="480"/>
        </w:tabs>
        <w:snapToGrid w:val="false"/>
        <w:spacing w:lineRule="exact" w:line="460"/>
        <w:ind w:left="993" w:hanging="240"/>
        <w:rPr/>
      </w:pPr>
      <w:r>
        <w:rPr>
          <w:rStyle w:val="Style14"/>
          <w:rFonts w:eastAsia="標楷體" w:ascii="標楷體" w:hAnsi="標楷體"/>
          <w:sz w:val="28"/>
        </w:rPr>
        <w:t>3.</w:t>
      </w:r>
      <w:r>
        <w:rPr>
          <w:rStyle w:val="Style14"/>
          <w:rFonts w:ascii="標楷體" w:hAnsi="標楷體" w:eastAsia="標楷體"/>
          <w:sz w:val="28"/>
        </w:rPr>
        <w:t>財力級次第三級者，補助比率不得超過百分之八十。</w:t>
      </w:r>
    </w:p>
    <w:p>
      <w:pPr>
        <w:pStyle w:val="Normal"/>
        <w:tabs>
          <w:tab w:val="clear" w:pos="480"/>
        </w:tabs>
        <w:snapToGrid w:val="false"/>
        <w:spacing w:lineRule="exact" w:line="460"/>
        <w:ind w:left="993" w:hanging="240"/>
        <w:rPr/>
      </w:pPr>
      <w:r>
        <w:rPr>
          <w:rStyle w:val="Style14"/>
          <w:rFonts w:eastAsia="標楷體" w:ascii="標楷體" w:hAnsi="標楷體"/>
          <w:sz w:val="28"/>
        </w:rPr>
        <w:t>4.</w:t>
      </w:r>
      <w:r>
        <w:rPr>
          <w:rStyle w:val="Style14"/>
          <w:rFonts w:ascii="標楷體" w:hAnsi="標楷體" w:eastAsia="標楷體"/>
          <w:sz w:val="28"/>
        </w:rPr>
        <w:t>財力級次第四級者，補助比率不得超過百分之八十九。</w:t>
      </w:r>
    </w:p>
    <w:p>
      <w:pPr>
        <w:pStyle w:val="Normal"/>
        <w:tabs>
          <w:tab w:val="clear" w:pos="480"/>
        </w:tabs>
        <w:snapToGrid w:val="false"/>
        <w:spacing w:lineRule="exact" w:line="460"/>
        <w:ind w:left="993" w:hanging="240"/>
        <w:rPr/>
      </w:pPr>
      <w:r>
        <w:rPr>
          <w:rStyle w:val="Style14"/>
          <w:rFonts w:eastAsia="標楷體" w:ascii="標楷體" w:hAnsi="標楷體"/>
          <w:sz w:val="28"/>
        </w:rPr>
        <w:t>5.</w:t>
      </w:r>
      <w:r>
        <w:rPr>
          <w:rStyle w:val="Style14"/>
          <w:rFonts w:ascii="標楷體" w:hAnsi="標楷體" w:eastAsia="標楷體"/>
          <w:sz w:val="28"/>
        </w:rPr>
        <w:t>財力級次第五級者，補助比率不得超過百分之九十。</w:t>
      </w:r>
    </w:p>
    <w:sectPr>
      <w:footerReference w:type="default" r:id="rId2"/>
      <w:type w:val="nextPage"/>
      <w:pgSz w:w="11906" w:h="16838"/>
      <w:pgMar w:left="1701" w:right="1418" w:gutter="0" w:header="0" w:top="851" w:footer="992" w:bottom="1418"/>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細明體">
    <w:charset w:val="88"/>
    <w:family w:val="modern"/>
    <w:pitch w:val="fixed"/>
  </w:font>
  <w:font w:name="Arial">
    <w:charset w:val="88"/>
    <w:family w:val="swiss"/>
    <w:pitch w:val="variable"/>
  </w:font>
  <w:font w:name="標楷體">
    <w:charset w:val="88"/>
    <w:family w:val="script"/>
    <w:pitch w:val="fixed"/>
  </w:font>
  <w:font w:name="新細明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Style w:val="Style14"/>
        <w:lang w:val="zh-TW"/>
      </w:rPr>
      <w:fldChar w:fldCharType="begin"/>
    </w:r>
    <w:r>
      <w:rPr>
        <w:rStyle w:val="Style14"/>
        <w:lang w:val="zh-TW"/>
      </w:rPr>
      <w:instrText> PAGE </w:instrText>
    </w:r>
    <w:r>
      <w:rPr>
        <w:rStyle w:val="Style14"/>
        <w:lang w:val="zh-TW"/>
      </w:rPr>
      <w:fldChar w:fldCharType="separate"/>
    </w:r>
    <w:r>
      <w:rPr>
        <w:rStyle w:val="Style14"/>
        <w:lang w:val="zh-TW"/>
      </w:rPr>
      <w:t>2</w:t>
    </w:r>
    <w:r>
      <w:rPr>
        <w:rStyle w:val="Style14"/>
        <w:lang w:val="zh-TW"/>
      </w:rPr>
      <w:fldChar w:fldCharType="end"/>
    </w:r>
  </w:p>
  <w:p>
    <w:pPr>
      <w:pStyle w:val="Style25"/>
      <w:rPr/>
    </w:pPr>
    <w:r>
      <w:rPr/>
    </w:r>
  </w:p>
</w:ftr>
</file>

<file path=word/settings.xml><?xml version="1.0" encoding="utf-8"?>
<w:settings xmlns:w="http://schemas.openxmlformats.org/wordprocessingml/2006/main">
  <w:zoom w:percent="11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n-US" w:eastAsia="zh-TW" w:bidi="ar-SA"/>
    </w:rPr>
  </w:style>
  <w:style w:type="character" w:styleId="Style14">
    <w:name w:val="預設段落字型"/>
    <w:qFormat/>
    <w:rPr/>
  </w:style>
  <w:style w:type="character" w:styleId="Style15">
    <w:name w:val="頁碼"/>
    <w:basedOn w:val="Style14"/>
    <w:rPr/>
  </w:style>
  <w:style w:type="character" w:styleId="Style16">
    <w:name w:val="行號"/>
    <w:basedOn w:val="Style14"/>
    <w:qFormat/>
    <w:rPr/>
  </w:style>
  <w:style w:type="character" w:styleId="Style17">
    <w:name w:val="純文字 字元"/>
    <w:basedOn w:val="Style14"/>
    <w:qFormat/>
    <w:rPr>
      <w:rFonts w:ascii="細明體" w:hAnsi="細明體" w:eastAsia="細明體"/>
      <w:kern w:val="2"/>
      <w:sz w:val="24"/>
    </w:rPr>
  </w:style>
  <w:style w:type="character" w:styleId="Style18">
    <w:name w:val="頁尾 字元"/>
    <w:basedOn w:val="Style14"/>
    <w:qFormat/>
    <w:rPr>
      <w:kern w:val="2"/>
      <w:sz w:val="24"/>
    </w:rPr>
  </w:style>
  <w:style w:type="character" w:styleId="Style19">
    <w:name w:val="註解參照"/>
    <w:qFormat/>
    <w:rPr>
      <w:sz w:val="18"/>
      <w:szCs w:val="18"/>
    </w:rPr>
  </w:style>
  <w:style w:type="character" w:styleId="Style20">
    <w:name w:val="註解文字 字元"/>
    <w:basedOn w:val="Style14"/>
    <w:qFormat/>
    <w:rPr>
      <w:kern w:val="2"/>
      <w:sz w:val="24"/>
      <w:szCs w:val="24"/>
    </w:rPr>
  </w:style>
  <w:style w:type="character" w:styleId="Style21">
    <w:name w:val="註解主旨 字元"/>
    <w:basedOn w:val="Style20"/>
    <w:qFormat/>
    <w:rPr>
      <w:b/>
      <w:bCs/>
      <w:kern w:val="2"/>
      <w:sz w:val="24"/>
      <w:szCs w:val="24"/>
    </w:rPr>
  </w:style>
  <w:style w:type="character" w:styleId="WWCharLFO2LVL1">
    <w:name w:val="WW_CharLFO2LVL1"/>
    <w:qFormat/>
    <w:rPr>
      <w:b w:val="false"/>
    </w:rPr>
  </w:style>
  <w:style w:type="character" w:styleId="WWCharLFO3LVL1">
    <w:name w:val="WW_CharLFO3LVL1"/>
    <w:qFormat/>
    <w:rPr>
      <w:rFonts w:cs="Times New Roman"/>
      <w:color w:val="auto"/>
    </w:rPr>
  </w:style>
  <w:style w:type="character" w:styleId="WWCharLFO4LVL1">
    <w:name w:val="WW_CharLFO4LVL1"/>
    <w:qFormat/>
    <w:rPr>
      <w:rFonts w:cs="Times New Roman"/>
      <w:color w:val="auto"/>
    </w:rPr>
  </w:style>
  <w:style w:type="character" w:styleId="WWCharLFO5LVL1">
    <w:name w:val="WW_CharLFO5LVL1"/>
    <w:qFormat/>
    <w:rPr>
      <w:rFonts w:cs="Times New Roman"/>
      <w:color w:val="auto"/>
    </w:rPr>
  </w:style>
  <w:style w:type="character" w:styleId="WWCharLFO6LVL1">
    <w:name w:val="WW_CharLFO6LVL1"/>
    <w:qFormat/>
    <w:rPr>
      <w:rFonts w:cs="Times New Roman"/>
      <w:b/>
      <w:color w:val="auto"/>
    </w:rPr>
  </w:style>
  <w:style w:type="character" w:styleId="WWCharLFO7LVL1">
    <w:name w:val="WW_CharLFO7LVL1"/>
    <w:qFormat/>
    <w:rPr>
      <w:b w:val="false"/>
      <w:color w:val="auto"/>
    </w:rPr>
  </w:style>
  <w:style w:type="character" w:styleId="WWCharLFO10LVL1">
    <w:name w:val="WW_CharLFO10LVL1"/>
    <w:qFormat/>
    <w:rPr>
      <w:rFonts w:cs="Times New Roman"/>
      <w:b w:val="false"/>
      <w:color w:val="auto"/>
    </w:rPr>
  </w:style>
  <w:style w:type="character" w:styleId="WWCharLFO11LVL1">
    <w:name w:val="WW_CharLFO11LVL1"/>
    <w:qFormat/>
    <w:rPr>
      <w:rFonts w:cs="Times New Roman"/>
      <w:color w:val="auto"/>
    </w:rPr>
  </w:style>
  <w:style w:type="character" w:styleId="WWCharLFO12LVL1">
    <w:name w:val="WW_CharLFO12LVL1"/>
    <w:qFormat/>
    <w:rPr>
      <w:rFonts w:cs="Times New Roman"/>
      <w:b w:val="false"/>
      <w:color w:val="auto"/>
    </w:rPr>
  </w:style>
  <w:style w:type="character" w:styleId="WWCharLFO16LVL1">
    <w:name w:val="WW_CharLFO16LVL1"/>
    <w:qFormat/>
    <w:rPr>
      <w:b w:val="false"/>
    </w:rPr>
  </w:style>
  <w:style w:type="character" w:styleId="WWCharLFO19LVL1">
    <w:name w:val="WW_CharLFO19LVL1"/>
    <w:qFormat/>
    <w:rPr>
      <w:rFonts w:cs="Times New Roman"/>
      <w:color w:val="auto"/>
      <w:sz w:val="24"/>
      <w:szCs w:val="24"/>
    </w:rPr>
  </w:style>
  <w:style w:type="character" w:styleId="WWCharLFO20LVL1">
    <w:name w:val="WW_CharLFO20LVL1"/>
    <w:qFormat/>
    <w:rPr>
      <w:b w:val="false"/>
    </w:rPr>
  </w:style>
  <w:style w:type="character" w:styleId="WWCharLFO23LVL1">
    <w:name w:val="WW_CharLFO23LVL1"/>
    <w:qFormat/>
    <w:rPr>
      <w:rFonts w:cs="Times New Roman"/>
      <w:color w:val="auto"/>
      <w:sz w:val="24"/>
      <w:szCs w:val="24"/>
    </w:rPr>
  </w:style>
  <w:style w:type="character" w:styleId="WWCharLFO26LVL1">
    <w:name w:val="WW_CharLFO26LVL1"/>
    <w:qFormat/>
    <w:rPr>
      <w:rFonts w:cs="Times New Roman"/>
      <w:color w:val="auto"/>
    </w:rPr>
  </w:style>
  <w:style w:type="character" w:styleId="WWCharLFO27LVL1">
    <w:name w:val="WW_CharLFO27LVL1"/>
    <w:qFormat/>
    <w:rPr>
      <w:rFonts w:cs="Times New Roman"/>
      <w:color w:val="auto"/>
    </w:rPr>
  </w:style>
  <w:style w:type="paragraph" w:styleId="Style22">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n-US" w:eastAsia="zh-TW" w:bidi="ar-SA"/>
    </w:rPr>
  </w:style>
  <w:style w:type="paragraph" w:styleId="Style23">
    <w:name w:val="頁首與頁尾"/>
    <w:basedOn w:val="Normal"/>
    <w:qFormat/>
    <w:pPr>
      <w:suppressLineNumbers/>
      <w:tabs>
        <w:tab w:val="clear" w:pos="480"/>
        <w:tab w:val="center" w:pos="4819" w:leader="none"/>
        <w:tab w:val="right" w:pos="9638" w:leader="none"/>
      </w:tabs>
    </w:pPr>
    <w:rPr/>
  </w:style>
  <w:style w:type="paragraph" w:styleId="Style24">
    <w:name w:val="Header"/>
    <w:basedOn w:val="Style22"/>
    <w:pPr>
      <w:tabs>
        <w:tab w:val="clear" w:pos="480"/>
        <w:tab w:val="center" w:pos="4153" w:leader="none"/>
        <w:tab w:val="right" w:pos="8306" w:leader="none"/>
      </w:tabs>
      <w:suppressAutoHyphens w:val="true"/>
      <w:snapToGrid w:val="false"/>
    </w:pPr>
    <w:rPr>
      <w:sz w:val="20"/>
      <w:szCs w:val="20"/>
    </w:rPr>
  </w:style>
  <w:style w:type="paragraph" w:styleId="Style25">
    <w:name w:val="Footer"/>
    <w:basedOn w:val="Style22"/>
    <w:pPr>
      <w:tabs>
        <w:tab w:val="clear" w:pos="480"/>
        <w:tab w:val="center" w:pos="4153" w:leader="none"/>
        <w:tab w:val="right" w:pos="8306" w:leader="none"/>
      </w:tabs>
      <w:suppressAutoHyphens w:val="true"/>
      <w:snapToGrid w:val="false"/>
    </w:pPr>
    <w:rPr>
      <w:szCs w:val="20"/>
    </w:rPr>
  </w:style>
  <w:style w:type="paragraph" w:styleId="Style26">
    <w:name w:val="註解方塊文字"/>
    <w:basedOn w:val="Style22"/>
    <w:qFormat/>
    <w:pPr>
      <w:suppressAutoHyphens w:val="true"/>
    </w:pPr>
    <w:rPr>
      <w:rFonts w:ascii="Arial" w:hAnsi="Arial"/>
      <w:sz w:val="18"/>
      <w:szCs w:val="18"/>
    </w:rPr>
  </w:style>
  <w:style w:type="paragraph" w:styleId="Style27">
    <w:name w:val="純文字"/>
    <w:basedOn w:val="Style22"/>
    <w:qFormat/>
    <w:pPr>
      <w:suppressAutoHyphens w:val="true"/>
    </w:pPr>
    <w:rPr>
      <w:rFonts w:ascii="細明體" w:hAnsi="細明體" w:eastAsia="細明體"/>
      <w:szCs w:val="20"/>
    </w:rPr>
  </w:style>
  <w:style w:type="paragraph" w:styleId="Default">
    <w:name w:val="Default"/>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jc w:val="left"/>
    </w:pPr>
    <w:rPr>
      <w:rFonts w:ascii="標楷體" w:hAnsi="標楷體" w:eastAsia="標楷體" w:cs="標楷體"/>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en-US" w:eastAsia="zh-TW" w:bidi="ar-SA"/>
    </w:rPr>
  </w:style>
  <w:style w:type="paragraph" w:styleId="Style28">
    <w:name w:val="清單段落"/>
    <w:basedOn w:val="Style22"/>
    <w:qFormat/>
    <w:pPr>
      <w:tabs>
        <w:tab w:val="clear" w:pos="480"/>
      </w:tabs>
      <w:suppressAutoHyphens w:val="true"/>
      <w:ind w:left="480" w:hanging="0"/>
    </w:pPr>
    <w:rPr/>
  </w:style>
  <w:style w:type="paragraph" w:styleId="Web">
    <w:name w:val="內文 (Web)"/>
    <w:basedOn w:val="Style22"/>
    <w:qFormat/>
    <w:pPr>
      <w:widowControl/>
      <w:suppressAutoHyphens w:val="true"/>
      <w:spacing w:before="100" w:after="100"/>
    </w:pPr>
    <w:rPr>
      <w:rFonts w:ascii="新細明體" w:hAnsi="新細明體" w:cs="新細明體"/>
      <w:kern w:val="0"/>
    </w:rPr>
  </w:style>
  <w:style w:type="paragraph" w:styleId="Style29">
    <w:name w:val="註解文字"/>
    <w:basedOn w:val="Style22"/>
    <w:qFormat/>
    <w:pPr>
      <w:suppressAutoHyphens w:val="true"/>
    </w:pPr>
    <w:rPr/>
  </w:style>
  <w:style w:type="paragraph" w:styleId="Style30">
    <w:name w:val="註解主旨"/>
    <w:basedOn w:val="Style29"/>
    <w:next w:val="Style29"/>
    <w:qFormat/>
    <w:pPr>
      <w:suppressAutoHyphens w:val="true"/>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LibreOffice/7.2.4.1$Windows_X86_64 LibreOffice_project/27d75539669ac387bb498e35313b970b7fe9c4f9</Application>
  <AppVersion>15.0000</AppVersion>
  <Pages>2</Pages>
  <Words>170</Words>
  <Characters>969</Characters>
  <CharactersWithSpaces>1137</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2023-02-16T02:00:00Z</dcterms:created>
  <dc:creator>moe</dc:creator>
  <dc:description/>
  <dc:language>zh-TW</dc:language>
  <cp:lastModifiedBy>蕭任甫</cp:lastModifiedBy>
  <cp:lastPrinted>2020-08-13T06:08:00Z</cp:lastPrinted>
  <dcterms:modified xsi:type="dcterms:W3CDTF">2023-02-16T02:00:00Z</dcterms:modified>
  <cp:revision>2</cp:revision>
  <dc:subject/>
  <dc:title>教育經費分配審議委員會第     次特定教育補助審議表</dc:title>
</cp:coreProperties>
</file>